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5C00" w:rsidRPr="001E13AA" w:rsidRDefault="003C41A3" w:rsidP="00825C00">
      <w:pPr>
        <w:pStyle w:val="Header"/>
        <w:rPr>
          <w:rFonts w:ascii="Arial" w:hAnsi="Arial" w:cs="Arial"/>
        </w:rPr>
      </w:pPr>
      <w:r w:rsidRPr="004569C6">
        <w:rPr>
          <w:rFonts w:ascii="Arial" w:hAnsi="Arial" w:cs="Arial"/>
          <w:sz w:val="28"/>
          <w:szCs w:val="28"/>
          <w:highlight w:val="yellow"/>
        </w:rPr>
        <w:t>Organization ABC</w:t>
      </w:r>
      <w:r w:rsidRPr="003C41A3">
        <w:rPr>
          <w:rFonts w:ascii="Arial" w:hAnsi="Arial" w:cs="Arial"/>
          <w:sz w:val="28"/>
          <w:szCs w:val="28"/>
        </w:rPr>
        <w:t xml:space="preserve">       </w:t>
      </w:r>
      <w:r w:rsidR="00825C00" w:rsidRPr="001E13AA">
        <w:rPr>
          <w:rFonts w:ascii="Arial" w:hAnsi="Arial" w:cs="Arial"/>
          <w:sz w:val="28"/>
          <w:szCs w:val="28"/>
        </w:rPr>
        <w:ptab w:relativeTo="margin" w:alignment="center" w:leader="none"/>
      </w:r>
      <w:r w:rsidR="00825C00" w:rsidRPr="001E13AA">
        <w:rPr>
          <w:rFonts w:ascii="Arial" w:hAnsi="Arial" w:cs="Arial"/>
          <w:sz w:val="28"/>
          <w:szCs w:val="28"/>
        </w:rPr>
        <w:t>Appendix 1 Ministry Policy Example</w:t>
      </w:r>
      <w:r w:rsidR="00825C00" w:rsidRPr="001E13AA">
        <w:rPr>
          <w:rFonts w:ascii="Arial" w:hAnsi="Arial" w:cs="Arial"/>
          <w:sz w:val="28"/>
          <w:szCs w:val="28"/>
        </w:rPr>
        <w:tab/>
      </w:r>
      <w:r w:rsidR="00825C00">
        <w:rPr>
          <w:rFonts w:ascii="Arial" w:hAnsi="Arial" w:cs="Arial"/>
          <w:sz w:val="28"/>
          <w:szCs w:val="28"/>
        </w:rPr>
        <w:t xml:space="preserve"> Policy</w:t>
      </w:r>
      <w:r w:rsidR="00825C00" w:rsidRPr="001E13AA">
        <w:rPr>
          <w:rFonts w:ascii="Arial" w:hAnsi="Arial" w:cs="Arial"/>
          <w:sz w:val="28"/>
          <w:szCs w:val="28"/>
        </w:rPr>
        <w:t xml:space="preserve">#                                </w:t>
      </w:r>
    </w:p>
    <w:p w:rsidR="00825C00" w:rsidRDefault="00825C00" w:rsidP="00825C00">
      <w:pPr>
        <w:pStyle w:val="Default"/>
        <w:rPr>
          <w:b/>
          <w:bCs/>
          <w:sz w:val="36"/>
          <w:szCs w:val="36"/>
        </w:rPr>
      </w:pPr>
    </w:p>
    <w:p w:rsidR="00736AF8" w:rsidRDefault="00736AF8" w:rsidP="00736AF8">
      <w:pPr>
        <w:pStyle w:val="Default"/>
        <w:jc w:val="center"/>
        <w:rPr>
          <w:b/>
          <w:bCs/>
          <w:sz w:val="36"/>
          <w:szCs w:val="36"/>
        </w:rPr>
      </w:pPr>
      <w:r>
        <w:rPr>
          <w:b/>
          <w:bCs/>
          <w:sz w:val="36"/>
          <w:szCs w:val="36"/>
        </w:rPr>
        <w:t>Appendix 1</w:t>
      </w:r>
    </w:p>
    <w:p w:rsidR="00736AF8" w:rsidRDefault="00736AF8" w:rsidP="00736AF8">
      <w:pPr>
        <w:pStyle w:val="Default"/>
        <w:jc w:val="center"/>
        <w:rPr>
          <w:sz w:val="36"/>
          <w:szCs w:val="36"/>
        </w:rPr>
      </w:pPr>
    </w:p>
    <w:p w:rsidR="00736AF8" w:rsidRDefault="00736AF8" w:rsidP="00736AF8">
      <w:pPr>
        <w:pStyle w:val="Default"/>
        <w:jc w:val="center"/>
        <w:rPr>
          <w:b/>
          <w:bCs/>
          <w:sz w:val="40"/>
          <w:szCs w:val="40"/>
        </w:rPr>
      </w:pPr>
      <w:r>
        <w:rPr>
          <w:b/>
          <w:bCs/>
          <w:sz w:val="40"/>
          <w:szCs w:val="40"/>
        </w:rPr>
        <w:t>Example Policy (Minimum Requirements)</w:t>
      </w:r>
    </w:p>
    <w:p w:rsidR="00736AF8" w:rsidRDefault="00736AF8" w:rsidP="00736AF8">
      <w:pPr>
        <w:pStyle w:val="Default"/>
        <w:jc w:val="center"/>
        <w:rPr>
          <w:sz w:val="40"/>
          <w:szCs w:val="40"/>
        </w:rPr>
      </w:pPr>
    </w:p>
    <w:p w:rsidR="00D325B8" w:rsidRDefault="00736AF8" w:rsidP="00736AF8">
      <w:pPr>
        <w:jc w:val="center"/>
        <w:rPr>
          <w:b/>
          <w:bCs/>
          <w:sz w:val="28"/>
          <w:szCs w:val="28"/>
        </w:rPr>
      </w:pPr>
      <w:r>
        <w:rPr>
          <w:b/>
          <w:bCs/>
          <w:i/>
          <w:iCs/>
          <w:sz w:val="28"/>
          <w:szCs w:val="28"/>
        </w:rPr>
        <w:t xml:space="preserve">Covered Organization ABC’s </w:t>
      </w:r>
      <w:r>
        <w:rPr>
          <w:b/>
          <w:bCs/>
          <w:sz w:val="28"/>
          <w:szCs w:val="28"/>
        </w:rPr>
        <w:t>COVID-19 Immunization Policy</w:t>
      </w:r>
    </w:p>
    <w:p w:rsidR="00736AF8" w:rsidRPr="00736AF8" w:rsidRDefault="00736AF8" w:rsidP="00736AF8">
      <w:pPr>
        <w:pStyle w:val="Title"/>
        <w:rPr>
          <w:color w:val="FF0000"/>
          <w:sz w:val="36"/>
          <w:szCs w:val="36"/>
        </w:rPr>
      </w:pPr>
      <w:r w:rsidRPr="00736AF8">
        <w:rPr>
          <w:color w:val="FF0000"/>
          <w:sz w:val="36"/>
          <w:szCs w:val="36"/>
        </w:rPr>
        <w:t xml:space="preserve">Purpose </w:t>
      </w:r>
    </w:p>
    <w:p w:rsidR="00736AF8" w:rsidRPr="00736AF8" w:rsidRDefault="00736AF8" w:rsidP="00736AF8">
      <w:pPr>
        <w:pStyle w:val="Default"/>
        <w:rPr>
          <w:sz w:val="22"/>
          <w:szCs w:val="22"/>
        </w:rPr>
      </w:pPr>
      <w:r w:rsidRPr="00736AF8">
        <w:rPr>
          <w:sz w:val="22"/>
          <w:szCs w:val="22"/>
        </w:rPr>
        <w:t xml:space="preserve">The purpose of this policy is to outline organizational expectations with regards to COVID-19 immunization of employees, staff, contractors, volunteers and students. </w:t>
      </w:r>
    </w:p>
    <w:p w:rsidR="00736AF8" w:rsidRPr="00736AF8" w:rsidRDefault="00736AF8" w:rsidP="00736AF8"/>
    <w:p w:rsidR="00736AF8" w:rsidRPr="00736AF8" w:rsidRDefault="00736AF8" w:rsidP="00736AF8">
      <w:pPr>
        <w:rPr>
          <w:rFonts w:ascii="Arial" w:hAnsi="Arial" w:cs="Arial"/>
          <w:b/>
          <w:bCs/>
        </w:rPr>
      </w:pPr>
      <w:r w:rsidRPr="00736AF8">
        <w:rPr>
          <w:rFonts w:ascii="Arial" w:hAnsi="Arial" w:cs="Arial"/>
        </w:rPr>
        <w:t>Contingent upon vaccine availability, all eligible employees, staff, contractors, volunteers and students are strongly encouraged to receive a COVID-19 vaccine, unless it is medically contraindicated.</w:t>
      </w:r>
      <w:r w:rsidRPr="00736AF8">
        <w:rPr>
          <w:rFonts w:ascii="Arial" w:hAnsi="Arial" w:cs="Arial"/>
          <w:b/>
          <w:bCs/>
        </w:rPr>
        <w:t xml:space="preserve"> </w:t>
      </w:r>
    </w:p>
    <w:p w:rsidR="00736AF8" w:rsidRPr="00736AF8" w:rsidRDefault="00736AF8" w:rsidP="00736AF8">
      <w:pPr>
        <w:pStyle w:val="Default"/>
        <w:rPr>
          <w:rFonts w:asciiTheme="majorHAnsi" w:hAnsiTheme="majorHAnsi" w:cstheme="majorHAnsi"/>
          <w:color w:val="FF0000"/>
          <w:sz w:val="36"/>
          <w:szCs w:val="36"/>
        </w:rPr>
      </w:pPr>
      <w:r w:rsidRPr="00736AF8">
        <w:rPr>
          <w:rFonts w:asciiTheme="majorHAnsi" w:hAnsiTheme="majorHAnsi" w:cstheme="majorHAnsi"/>
          <w:bCs/>
          <w:color w:val="FF0000"/>
          <w:sz w:val="36"/>
          <w:szCs w:val="36"/>
        </w:rPr>
        <w:t xml:space="preserve">Background </w:t>
      </w:r>
    </w:p>
    <w:p w:rsidR="00736AF8" w:rsidRPr="00736AF8" w:rsidRDefault="00736AF8" w:rsidP="00736AF8">
      <w:pPr>
        <w:pStyle w:val="Default"/>
        <w:rPr>
          <w:sz w:val="22"/>
          <w:szCs w:val="22"/>
        </w:rPr>
      </w:pPr>
      <w:r w:rsidRPr="004569C6">
        <w:rPr>
          <w:sz w:val="22"/>
          <w:szCs w:val="22"/>
          <w:highlight w:val="yellow"/>
        </w:rPr>
        <w:t>ABC Covered Organization</w:t>
      </w:r>
      <w:r w:rsidRPr="00736AF8">
        <w:rPr>
          <w:sz w:val="22"/>
          <w:szCs w:val="22"/>
        </w:rPr>
        <w:t xml:space="preserve"> recognizes the importance of immunization of employees, staff, contractors, volunteers and students, due to the nature of their work with vulnerable patients and seniors and the potential for exposure in the community. This COVID-19 immunization policy aims to protect the </w:t>
      </w:r>
      <w:r w:rsidRPr="004569C6">
        <w:rPr>
          <w:sz w:val="22"/>
          <w:szCs w:val="22"/>
          <w:highlight w:val="yellow"/>
        </w:rPr>
        <w:t>ABC Covered Organization’s</w:t>
      </w:r>
      <w:r w:rsidRPr="00736AF8">
        <w:rPr>
          <w:sz w:val="22"/>
          <w:szCs w:val="22"/>
        </w:rPr>
        <w:t xml:space="preserve"> population including patients, employees, staff, contractors, volunteers and students. </w:t>
      </w:r>
    </w:p>
    <w:p w:rsidR="00736AF8" w:rsidRPr="00736AF8" w:rsidRDefault="00736AF8" w:rsidP="00736AF8">
      <w:pPr>
        <w:rPr>
          <w:rFonts w:ascii="Arial" w:hAnsi="Arial" w:cs="Arial"/>
        </w:rPr>
      </w:pPr>
    </w:p>
    <w:p w:rsidR="00736AF8" w:rsidRDefault="00736AF8" w:rsidP="00736AF8">
      <w:pPr>
        <w:rPr>
          <w:rFonts w:ascii="Arial" w:hAnsi="Arial" w:cs="Arial"/>
        </w:rPr>
      </w:pPr>
      <w:r w:rsidRPr="00736AF8">
        <w:rPr>
          <w:rFonts w:ascii="Arial" w:hAnsi="Arial" w:cs="Arial"/>
        </w:rPr>
        <w:t>COVID-19 is an acute respiratory illness caused by the severe acute respiratory syndrome coronavirus 2 (SARS-CoV-2). It may be characterized by fever, cough, shortness of breath, and several other symptoms. Asymptomatic infection is also possible. The risk of severe disease increases with age but is not limited to the elderly and is elevated in those with underlying medical conditions.</w:t>
      </w:r>
    </w:p>
    <w:p w:rsidR="00736AF8" w:rsidRPr="00736AF8" w:rsidRDefault="00736AF8" w:rsidP="00736AF8">
      <w:pPr>
        <w:pStyle w:val="Default"/>
        <w:rPr>
          <w:rFonts w:asciiTheme="majorHAnsi" w:hAnsiTheme="majorHAnsi" w:cstheme="majorHAnsi"/>
          <w:sz w:val="36"/>
          <w:szCs w:val="36"/>
        </w:rPr>
      </w:pPr>
      <w:r w:rsidRPr="00736AF8">
        <w:rPr>
          <w:rFonts w:asciiTheme="majorHAnsi" w:hAnsiTheme="majorHAnsi" w:cstheme="majorHAnsi"/>
          <w:bCs/>
          <w:color w:val="FF0000"/>
          <w:sz w:val="36"/>
          <w:szCs w:val="36"/>
        </w:rPr>
        <w:t>Application of the Policy</w:t>
      </w:r>
      <w:r w:rsidRPr="00736AF8">
        <w:rPr>
          <w:rFonts w:asciiTheme="majorHAnsi" w:hAnsiTheme="majorHAnsi" w:cstheme="majorHAnsi"/>
          <w:bCs/>
          <w:sz w:val="36"/>
          <w:szCs w:val="36"/>
        </w:rPr>
        <w:t xml:space="preserve"> </w:t>
      </w:r>
    </w:p>
    <w:p w:rsidR="004569C6" w:rsidRDefault="00736AF8" w:rsidP="00736AF8">
      <w:pPr>
        <w:pStyle w:val="Default"/>
        <w:rPr>
          <w:sz w:val="22"/>
          <w:szCs w:val="22"/>
        </w:rPr>
      </w:pPr>
      <w:r w:rsidRPr="00736AF8">
        <w:rPr>
          <w:sz w:val="22"/>
          <w:szCs w:val="22"/>
        </w:rPr>
        <w:t xml:space="preserve">Regardless of how often they are at </w:t>
      </w:r>
      <w:r w:rsidRPr="004569C6">
        <w:rPr>
          <w:sz w:val="22"/>
          <w:szCs w:val="22"/>
          <w:highlight w:val="yellow"/>
        </w:rPr>
        <w:t>ABC Covered Organization</w:t>
      </w:r>
      <w:r w:rsidRPr="00736AF8">
        <w:rPr>
          <w:sz w:val="22"/>
          <w:szCs w:val="22"/>
        </w:rPr>
        <w:t xml:space="preserve"> and how much time they spend there or in their respective workplace, this policy applies to: </w:t>
      </w:r>
    </w:p>
    <w:p w:rsidR="004569C6" w:rsidRDefault="00736AF8" w:rsidP="00736AF8">
      <w:pPr>
        <w:pStyle w:val="Default"/>
        <w:numPr>
          <w:ilvl w:val="0"/>
          <w:numId w:val="4"/>
        </w:numPr>
        <w:rPr>
          <w:sz w:val="22"/>
          <w:szCs w:val="22"/>
        </w:rPr>
      </w:pPr>
      <w:r w:rsidRPr="00736AF8">
        <w:rPr>
          <w:sz w:val="22"/>
          <w:szCs w:val="22"/>
        </w:rPr>
        <w:t xml:space="preserve">Employees and staff including regulated health professionals, personal support workers, and other workers that are or may be in the patient environment </w:t>
      </w:r>
    </w:p>
    <w:p w:rsidR="004569C6" w:rsidRDefault="00736AF8" w:rsidP="00736AF8">
      <w:pPr>
        <w:pStyle w:val="Default"/>
        <w:numPr>
          <w:ilvl w:val="0"/>
          <w:numId w:val="4"/>
        </w:numPr>
        <w:rPr>
          <w:sz w:val="22"/>
          <w:szCs w:val="22"/>
        </w:rPr>
      </w:pPr>
      <w:r w:rsidRPr="004569C6">
        <w:rPr>
          <w:sz w:val="22"/>
          <w:szCs w:val="22"/>
        </w:rPr>
        <w:t xml:space="preserve">contractors (including people on contract, and people employed by an employment agency or other third party) </w:t>
      </w:r>
    </w:p>
    <w:p w:rsidR="004569C6" w:rsidRDefault="00736AF8" w:rsidP="00736AF8">
      <w:pPr>
        <w:pStyle w:val="Default"/>
        <w:numPr>
          <w:ilvl w:val="0"/>
          <w:numId w:val="4"/>
        </w:numPr>
        <w:rPr>
          <w:sz w:val="22"/>
          <w:szCs w:val="22"/>
        </w:rPr>
      </w:pPr>
      <w:r w:rsidRPr="004569C6">
        <w:rPr>
          <w:sz w:val="22"/>
          <w:szCs w:val="22"/>
        </w:rPr>
        <w:t xml:space="preserve">students on an educational placement </w:t>
      </w:r>
    </w:p>
    <w:p w:rsidR="00736AF8" w:rsidRPr="004569C6" w:rsidRDefault="00736AF8" w:rsidP="00736AF8">
      <w:pPr>
        <w:pStyle w:val="Default"/>
        <w:numPr>
          <w:ilvl w:val="0"/>
          <w:numId w:val="4"/>
        </w:numPr>
        <w:rPr>
          <w:sz w:val="22"/>
          <w:szCs w:val="22"/>
        </w:rPr>
      </w:pPr>
      <w:r w:rsidRPr="004569C6">
        <w:t>volunteers</w:t>
      </w:r>
    </w:p>
    <w:p w:rsidR="003C41A3" w:rsidRDefault="003C41A3" w:rsidP="00DE41CC">
      <w:pPr>
        <w:spacing w:after="0"/>
        <w:rPr>
          <w:rFonts w:asciiTheme="majorHAnsi" w:hAnsiTheme="majorHAnsi" w:cstheme="majorHAnsi"/>
          <w:bCs/>
          <w:color w:val="FF0000"/>
          <w:sz w:val="36"/>
          <w:szCs w:val="36"/>
        </w:rPr>
      </w:pPr>
    </w:p>
    <w:p w:rsidR="00DE41CC" w:rsidRPr="00DE41CC" w:rsidRDefault="00736AF8" w:rsidP="00DE41CC">
      <w:pPr>
        <w:spacing w:after="0"/>
        <w:rPr>
          <w:rFonts w:asciiTheme="majorHAnsi" w:hAnsiTheme="majorHAnsi" w:cstheme="majorHAnsi"/>
          <w:bCs/>
          <w:color w:val="FF0000"/>
          <w:sz w:val="36"/>
          <w:szCs w:val="36"/>
        </w:rPr>
      </w:pPr>
      <w:r w:rsidRPr="00DE41CC">
        <w:rPr>
          <w:rFonts w:asciiTheme="majorHAnsi" w:hAnsiTheme="majorHAnsi" w:cstheme="majorHAnsi"/>
          <w:bCs/>
          <w:color w:val="FF0000"/>
          <w:sz w:val="36"/>
          <w:szCs w:val="36"/>
        </w:rPr>
        <w:lastRenderedPageBreak/>
        <w:t>Policy</w:t>
      </w:r>
    </w:p>
    <w:p w:rsidR="00736AF8" w:rsidRPr="004569C6" w:rsidRDefault="00736AF8" w:rsidP="00DE41CC">
      <w:pPr>
        <w:spacing w:after="0"/>
        <w:rPr>
          <w:rFonts w:ascii="Arial" w:hAnsi="Arial" w:cs="Arial"/>
        </w:rPr>
      </w:pPr>
      <w:r w:rsidRPr="00DE41CC">
        <w:rPr>
          <w:rFonts w:ascii="Arial" w:hAnsi="Arial" w:cs="Arial"/>
        </w:rPr>
        <w:t xml:space="preserve">It is important to protect the health and well-being of </w:t>
      </w:r>
      <w:r w:rsidRPr="004569C6">
        <w:rPr>
          <w:rFonts w:ascii="Arial" w:hAnsi="Arial" w:cs="Arial"/>
          <w:highlight w:val="yellow"/>
        </w:rPr>
        <w:t>ABC Covered Organization’s</w:t>
      </w:r>
      <w:r w:rsidRPr="00DE41CC">
        <w:rPr>
          <w:rFonts w:ascii="Arial" w:hAnsi="Arial" w:cs="Arial"/>
        </w:rPr>
        <w:t xml:space="preserve"> patients, employees, staff, contractors, volunteers and students where there is evidence of a risk with identified measures for management. The CMOH has directed ABC Covered Organization to develop, implement and ensure compliance with a COVID-19 vaccination policy. </w:t>
      </w:r>
    </w:p>
    <w:p w:rsidR="004569C6" w:rsidRDefault="00736AF8" w:rsidP="004569C6">
      <w:pPr>
        <w:pStyle w:val="Default"/>
        <w:rPr>
          <w:sz w:val="22"/>
          <w:szCs w:val="22"/>
        </w:rPr>
      </w:pPr>
      <w:r w:rsidRPr="00DE41CC">
        <w:rPr>
          <w:sz w:val="22"/>
          <w:szCs w:val="22"/>
        </w:rPr>
        <w:t xml:space="preserve">To facilitate this policy all employees, staff, contractors, volunteers and students will be required to provide one of the following: </w:t>
      </w:r>
    </w:p>
    <w:p w:rsidR="004569C6" w:rsidRDefault="004569C6" w:rsidP="004569C6">
      <w:pPr>
        <w:pStyle w:val="Default"/>
        <w:rPr>
          <w:sz w:val="22"/>
          <w:szCs w:val="22"/>
        </w:rPr>
      </w:pPr>
    </w:p>
    <w:p w:rsidR="004569C6" w:rsidRDefault="00736AF8" w:rsidP="004569C6">
      <w:pPr>
        <w:pStyle w:val="Default"/>
        <w:numPr>
          <w:ilvl w:val="0"/>
          <w:numId w:val="5"/>
        </w:numPr>
        <w:rPr>
          <w:sz w:val="22"/>
          <w:szCs w:val="22"/>
        </w:rPr>
      </w:pPr>
      <w:r w:rsidRPr="00DE41CC">
        <w:rPr>
          <w:sz w:val="22"/>
          <w:szCs w:val="22"/>
        </w:rPr>
        <w:t xml:space="preserve">Proof of COVID-19 vaccine administration as per the following requirements: </w:t>
      </w:r>
    </w:p>
    <w:p w:rsidR="004569C6" w:rsidRDefault="00736AF8" w:rsidP="004569C6">
      <w:pPr>
        <w:pStyle w:val="Default"/>
        <w:numPr>
          <w:ilvl w:val="1"/>
          <w:numId w:val="5"/>
        </w:numPr>
        <w:rPr>
          <w:sz w:val="22"/>
          <w:szCs w:val="22"/>
        </w:rPr>
      </w:pPr>
      <w:r w:rsidRPr="004569C6">
        <w:rPr>
          <w:sz w:val="22"/>
          <w:szCs w:val="22"/>
        </w:rPr>
        <w:t xml:space="preserve">If the individual has only received the first dose of a two-dose COVID-19 vaccination </w:t>
      </w:r>
      <w:r w:rsidR="004F59E2" w:rsidRPr="004569C6">
        <w:rPr>
          <w:sz w:val="22"/>
          <w:szCs w:val="22"/>
        </w:rPr>
        <w:t xml:space="preserve">   </w:t>
      </w:r>
      <w:r w:rsidRPr="004569C6">
        <w:rPr>
          <w:sz w:val="22"/>
          <w:szCs w:val="22"/>
        </w:rPr>
        <w:t xml:space="preserve">series approved by the World Health Organization proof that the first dose was administered and, as soon as reasonably possible, proof of administration of the second dose; or </w:t>
      </w:r>
    </w:p>
    <w:p w:rsidR="00736AF8" w:rsidRPr="004569C6" w:rsidRDefault="00736AF8" w:rsidP="004569C6">
      <w:pPr>
        <w:pStyle w:val="Default"/>
        <w:numPr>
          <w:ilvl w:val="1"/>
          <w:numId w:val="5"/>
        </w:numPr>
        <w:rPr>
          <w:sz w:val="22"/>
          <w:szCs w:val="22"/>
        </w:rPr>
      </w:pPr>
      <w:r w:rsidRPr="004569C6">
        <w:rPr>
          <w:sz w:val="22"/>
          <w:szCs w:val="22"/>
        </w:rPr>
        <w:t xml:space="preserve"> Proof of all required doses of a COVID-1</w:t>
      </w:r>
      <w:r w:rsidR="004569C6" w:rsidRPr="004569C6">
        <w:rPr>
          <w:sz w:val="22"/>
          <w:szCs w:val="22"/>
        </w:rPr>
        <w:t xml:space="preserve">9 vaccine approved by the World </w:t>
      </w:r>
      <w:r w:rsidRPr="004569C6">
        <w:rPr>
          <w:sz w:val="22"/>
          <w:szCs w:val="22"/>
        </w:rPr>
        <w:t>Health</w:t>
      </w:r>
      <w:r w:rsidR="00A85503" w:rsidRPr="004569C6">
        <w:rPr>
          <w:sz w:val="22"/>
          <w:szCs w:val="22"/>
        </w:rPr>
        <w:t xml:space="preserve">      Organization.</w:t>
      </w:r>
      <w:r w:rsidRPr="004569C6">
        <w:rPr>
          <w:sz w:val="22"/>
          <w:szCs w:val="22"/>
        </w:rPr>
        <w:t xml:space="preserve"> </w:t>
      </w:r>
      <w:r w:rsidR="00A85503" w:rsidRPr="004569C6">
        <w:rPr>
          <w:sz w:val="22"/>
          <w:szCs w:val="22"/>
        </w:rPr>
        <w:t xml:space="preserve">                 </w:t>
      </w:r>
    </w:p>
    <w:p w:rsidR="00736AF8" w:rsidRPr="00DE41CC" w:rsidRDefault="00736AF8" w:rsidP="004569C6">
      <w:pPr>
        <w:pStyle w:val="Default"/>
        <w:numPr>
          <w:ilvl w:val="1"/>
          <w:numId w:val="1"/>
        </w:numPr>
        <w:ind w:left="720"/>
        <w:rPr>
          <w:sz w:val="22"/>
          <w:szCs w:val="22"/>
        </w:rPr>
      </w:pPr>
    </w:p>
    <w:p w:rsidR="004569C6" w:rsidRDefault="00736AF8" w:rsidP="004569C6">
      <w:pPr>
        <w:pStyle w:val="Default"/>
        <w:numPr>
          <w:ilvl w:val="0"/>
          <w:numId w:val="5"/>
        </w:numPr>
        <w:spacing w:after="20"/>
        <w:rPr>
          <w:sz w:val="22"/>
          <w:szCs w:val="22"/>
        </w:rPr>
      </w:pPr>
      <w:r w:rsidRPr="00DE41CC">
        <w:rPr>
          <w:sz w:val="22"/>
          <w:szCs w:val="22"/>
        </w:rPr>
        <w:t xml:space="preserve">Written proof of a medical reason, provided by either a physician or nurse practitioner </w:t>
      </w:r>
      <w:r w:rsidR="00A85503">
        <w:rPr>
          <w:sz w:val="22"/>
          <w:szCs w:val="22"/>
        </w:rPr>
        <w:t xml:space="preserve">   </w:t>
      </w:r>
      <w:r w:rsidRPr="00DE41CC">
        <w:rPr>
          <w:sz w:val="22"/>
          <w:szCs w:val="22"/>
        </w:rPr>
        <w:t xml:space="preserve">that sets out: </w:t>
      </w:r>
    </w:p>
    <w:p w:rsidR="004569C6" w:rsidRDefault="00736AF8" w:rsidP="004569C6">
      <w:pPr>
        <w:pStyle w:val="Default"/>
        <w:numPr>
          <w:ilvl w:val="1"/>
          <w:numId w:val="5"/>
        </w:numPr>
        <w:spacing w:after="20"/>
        <w:rPr>
          <w:sz w:val="22"/>
          <w:szCs w:val="22"/>
        </w:rPr>
      </w:pPr>
      <w:r w:rsidRPr="004569C6">
        <w:rPr>
          <w:sz w:val="22"/>
          <w:szCs w:val="22"/>
        </w:rPr>
        <w:t xml:space="preserve">that the person cannot be vaccinated against COVID-19; </w:t>
      </w:r>
      <w:r w:rsidRPr="004569C6">
        <w:rPr>
          <w:b/>
          <w:bCs/>
          <w:sz w:val="22"/>
          <w:szCs w:val="22"/>
        </w:rPr>
        <w:t xml:space="preserve">and </w:t>
      </w:r>
    </w:p>
    <w:p w:rsidR="00736AF8" w:rsidRPr="004569C6" w:rsidRDefault="00736AF8" w:rsidP="004569C6">
      <w:pPr>
        <w:pStyle w:val="Default"/>
        <w:numPr>
          <w:ilvl w:val="1"/>
          <w:numId w:val="5"/>
        </w:numPr>
        <w:spacing w:after="20"/>
        <w:rPr>
          <w:sz w:val="22"/>
          <w:szCs w:val="22"/>
        </w:rPr>
      </w:pPr>
      <w:proofErr w:type="gramStart"/>
      <w:r w:rsidRPr="004569C6">
        <w:rPr>
          <w:sz w:val="22"/>
          <w:szCs w:val="22"/>
        </w:rPr>
        <w:t>the</w:t>
      </w:r>
      <w:proofErr w:type="gramEnd"/>
      <w:r w:rsidRPr="004569C6">
        <w:rPr>
          <w:sz w:val="22"/>
          <w:szCs w:val="22"/>
        </w:rPr>
        <w:t xml:space="preserve"> effective time period for the medical reason (i.e., permanent or time-limited). </w:t>
      </w:r>
    </w:p>
    <w:p w:rsidR="00736AF8" w:rsidRPr="00DE41CC" w:rsidRDefault="00736AF8" w:rsidP="004569C6">
      <w:pPr>
        <w:pStyle w:val="Default"/>
        <w:numPr>
          <w:ilvl w:val="1"/>
          <w:numId w:val="1"/>
        </w:numPr>
        <w:ind w:left="720"/>
        <w:rPr>
          <w:sz w:val="22"/>
          <w:szCs w:val="22"/>
        </w:rPr>
      </w:pPr>
    </w:p>
    <w:p w:rsidR="004569C6" w:rsidRDefault="00736AF8" w:rsidP="004569C6">
      <w:pPr>
        <w:pStyle w:val="Default"/>
        <w:numPr>
          <w:ilvl w:val="0"/>
          <w:numId w:val="5"/>
        </w:numPr>
        <w:rPr>
          <w:sz w:val="22"/>
          <w:szCs w:val="22"/>
        </w:rPr>
      </w:pPr>
      <w:r w:rsidRPr="00DE41CC">
        <w:rPr>
          <w:sz w:val="22"/>
          <w:szCs w:val="22"/>
        </w:rPr>
        <w:t xml:space="preserve">Proof that the individual has completed an educational program approved by </w:t>
      </w:r>
      <w:r w:rsidRPr="004569C6">
        <w:rPr>
          <w:i/>
          <w:iCs/>
          <w:sz w:val="22"/>
          <w:szCs w:val="22"/>
          <w:highlight w:val="yellow"/>
        </w:rPr>
        <w:t>ABC Covered Organization</w:t>
      </w:r>
      <w:r w:rsidRPr="004569C6">
        <w:rPr>
          <w:sz w:val="22"/>
          <w:szCs w:val="22"/>
          <w:highlight w:val="yellow"/>
        </w:rPr>
        <w:t>.</w:t>
      </w:r>
    </w:p>
    <w:p w:rsidR="004569C6" w:rsidRDefault="004569C6" w:rsidP="004F59E2">
      <w:pPr>
        <w:pStyle w:val="Default"/>
        <w:rPr>
          <w:sz w:val="22"/>
          <w:szCs w:val="22"/>
        </w:rPr>
      </w:pPr>
    </w:p>
    <w:p w:rsidR="00736AF8" w:rsidRPr="004569C6" w:rsidRDefault="00736AF8" w:rsidP="004569C6">
      <w:pPr>
        <w:pStyle w:val="Default"/>
        <w:rPr>
          <w:sz w:val="20"/>
          <w:szCs w:val="22"/>
        </w:rPr>
      </w:pPr>
      <w:r w:rsidRPr="004569C6">
        <w:rPr>
          <w:sz w:val="22"/>
        </w:rPr>
        <w:t xml:space="preserve">Employees, staff, contractors, volunteers and students who elect not to provide proof of COVID-19 vaccination per 1 above, and rely on 2 or 3, are required to perform rapid antigen testing, at a frequency of not less than </w:t>
      </w:r>
      <w:r w:rsidRPr="004569C6">
        <w:rPr>
          <w:sz w:val="22"/>
          <w:highlight w:val="yellow"/>
        </w:rPr>
        <w:t>X</w:t>
      </w:r>
      <w:r w:rsidRPr="004569C6">
        <w:rPr>
          <w:sz w:val="22"/>
        </w:rPr>
        <w:t xml:space="preserve"> in alignment with provincial guidance, and provide verification of negative test results as specified by </w:t>
      </w:r>
      <w:r w:rsidRPr="004569C6">
        <w:rPr>
          <w:i/>
          <w:iCs/>
          <w:sz w:val="22"/>
          <w:highlight w:val="yellow"/>
        </w:rPr>
        <w:t>ABC Covered Organization</w:t>
      </w:r>
      <w:r w:rsidRPr="004569C6">
        <w:rPr>
          <w:i/>
          <w:iCs/>
          <w:sz w:val="22"/>
        </w:rPr>
        <w:t xml:space="preserve"> </w:t>
      </w:r>
      <w:r w:rsidRPr="004569C6">
        <w:rPr>
          <w:sz w:val="22"/>
        </w:rPr>
        <w:t>(e</w:t>
      </w:r>
      <w:r w:rsidR="001E5E11" w:rsidRPr="004569C6">
        <w:rPr>
          <w:sz w:val="22"/>
        </w:rPr>
        <w:t>.</w:t>
      </w:r>
      <w:r w:rsidRPr="004569C6">
        <w:rPr>
          <w:sz w:val="22"/>
        </w:rPr>
        <w:t>g</w:t>
      </w:r>
      <w:r w:rsidR="001E5E11" w:rsidRPr="004569C6">
        <w:rPr>
          <w:sz w:val="22"/>
        </w:rPr>
        <w:t>.</w:t>
      </w:r>
      <w:r w:rsidRPr="004569C6">
        <w:rPr>
          <w:sz w:val="22"/>
        </w:rPr>
        <w:t>,</w:t>
      </w:r>
      <w:r w:rsidR="001E5E11" w:rsidRPr="004569C6">
        <w:rPr>
          <w:sz w:val="22"/>
        </w:rPr>
        <w:t xml:space="preserve"> </w:t>
      </w:r>
      <w:r w:rsidRPr="004569C6">
        <w:rPr>
          <w:sz w:val="22"/>
        </w:rPr>
        <w:t>in person on the worksite, remotely via email or app)</w:t>
      </w:r>
      <w:r w:rsidR="00DE41CC" w:rsidRPr="004569C6">
        <w:rPr>
          <w:sz w:val="22"/>
        </w:rPr>
        <w:t>.</w:t>
      </w:r>
      <w:bookmarkStart w:id="0" w:name="_GoBack"/>
      <w:bookmarkEnd w:id="0"/>
    </w:p>
    <w:p w:rsidR="00DE41CC" w:rsidRPr="00DE41CC" w:rsidRDefault="00DE41CC" w:rsidP="00DE41CC">
      <w:pPr>
        <w:autoSpaceDE w:val="0"/>
        <w:autoSpaceDN w:val="0"/>
        <w:adjustRightInd w:val="0"/>
        <w:spacing w:after="0" w:line="240" w:lineRule="auto"/>
        <w:rPr>
          <w:rFonts w:asciiTheme="majorHAnsi" w:hAnsiTheme="majorHAnsi" w:cstheme="majorHAnsi"/>
          <w:color w:val="FF0000"/>
          <w:sz w:val="36"/>
          <w:szCs w:val="36"/>
        </w:rPr>
      </w:pPr>
      <w:r w:rsidRPr="00DE41CC">
        <w:rPr>
          <w:rFonts w:asciiTheme="majorHAnsi" w:hAnsiTheme="majorHAnsi" w:cstheme="majorHAnsi"/>
          <w:bCs/>
          <w:color w:val="FF0000"/>
          <w:sz w:val="36"/>
          <w:szCs w:val="36"/>
        </w:rPr>
        <w:t xml:space="preserve">Educational Program </w:t>
      </w:r>
    </w:p>
    <w:p w:rsidR="00DE41CC" w:rsidRPr="00DE41CC" w:rsidRDefault="00DE41CC" w:rsidP="00DE41CC">
      <w:pPr>
        <w:autoSpaceDE w:val="0"/>
        <w:autoSpaceDN w:val="0"/>
        <w:adjustRightInd w:val="0"/>
        <w:spacing w:after="0" w:line="240" w:lineRule="auto"/>
        <w:rPr>
          <w:rFonts w:ascii="Arial" w:hAnsi="Arial" w:cs="Arial"/>
          <w:color w:val="000000"/>
        </w:rPr>
      </w:pPr>
      <w:r w:rsidRPr="00DE41CC">
        <w:rPr>
          <w:rFonts w:ascii="Arial" w:hAnsi="Arial" w:cs="Arial"/>
          <w:color w:val="000000"/>
        </w:rPr>
        <w:t xml:space="preserve">The educational program has been approved by an approved vendor and/or provided by </w:t>
      </w:r>
      <w:r w:rsidRPr="004569C6">
        <w:rPr>
          <w:rFonts w:ascii="Arial" w:hAnsi="Arial" w:cs="Arial"/>
          <w:i/>
          <w:iCs/>
          <w:color w:val="000000"/>
          <w:highlight w:val="yellow"/>
        </w:rPr>
        <w:t>ABC Covered Organization</w:t>
      </w:r>
      <w:r w:rsidRPr="00DE41CC">
        <w:rPr>
          <w:rFonts w:ascii="Arial" w:hAnsi="Arial" w:cs="Arial"/>
          <w:i/>
          <w:iCs/>
          <w:color w:val="000000"/>
        </w:rPr>
        <w:t xml:space="preserve"> </w:t>
      </w:r>
      <w:r w:rsidRPr="00DE41CC">
        <w:rPr>
          <w:rFonts w:ascii="Arial" w:hAnsi="Arial" w:cs="Arial"/>
          <w:color w:val="000000"/>
        </w:rPr>
        <w:t xml:space="preserve">and addresses all of the following learning components: </w:t>
      </w:r>
    </w:p>
    <w:p w:rsidR="004569C6" w:rsidRDefault="00DE41CC" w:rsidP="004569C6">
      <w:pPr>
        <w:pStyle w:val="ListParagraph"/>
        <w:numPr>
          <w:ilvl w:val="0"/>
          <w:numId w:val="3"/>
        </w:numPr>
        <w:autoSpaceDE w:val="0"/>
        <w:autoSpaceDN w:val="0"/>
        <w:adjustRightInd w:val="0"/>
        <w:spacing w:after="36" w:line="240" w:lineRule="auto"/>
        <w:rPr>
          <w:rFonts w:ascii="Arial" w:hAnsi="Arial" w:cs="Arial"/>
          <w:color w:val="000000"/>
        </w:rPr>
      </w:pPr>
      <w:r w:rsidRPr="004569C6">
        <w:rPr>
          <w:rFonts w:ascii="Arial" w:hAnsi="Arial" w:cs="Arial"/>
          <w:color w:val="000000"/>
        </w:rPr>
        <w:t xml:space="preserve">how COVID-19 vaccines work; </w:t>
      </w:r>
    </w:p>
    <w:p w:rsidR="004569C6" w:rsidRDefault="00DE41CC" w:rsidP="004569C6">
      <w:pPr>
        <w:pStyle w:val="ListParagraph"/>
        <w:numPr>
          <w:ilvl w:val="0"/>
          <w:numId w:val="3"/>
        </w:numPr>
        <w:autoSpaceDE w:val="0"/>
        <w:autoSpaceDN w:val="0"/>
        <w:adjustRightInd w:val="0"/>
        <w:spacing w:after="36" w:line="240" w:lineRule="auto"/>
        <w:rPr>
          <w:rFonts w:ascii="Arial" w:hAnsi="Arial" w:cs="Arial"/>
          <w:color w:val="000000"/>
        </w:rPr>
      </w:pPr>
      <w:r w:rsidRPr="004569C6">
        <w:rPr>
          <w:rFonts w:ascii="Arial" w:hAnsi="Arial" w:cs="Arial"/>
          <w:color w:val="000000"/>
        </w:rPr>
        <w:t xml:space="preserve">vaccine safety related to the development of the COVID-19 vaccines; </w:t>
      </w:r>
    </w:p>
    <w:p w:rsidR="004569C6" w:rsidRDefault="00DE41CC" w:rsidP="004569C6">
      <w:pPr>
        <w:pStyle w:val="ListParagraph"/>
        <w:numPr>
          <w:ilvl w:val="0"/>
          <w:numId w:val="3"/>
        </w:numPr>
        <w:autoSpaceDE w:val="0"/>
        <w:autoSpaceDN w:val="0"/>
        <w:adjustRightInd w:val="0"/>
        <w:spacing w:after="36" w:line="240" w:lineRule="auto"/>
        <w:rPr>
          <w:rFonts w:ascii="Arial" w:hAnsi="Arial" w:cs="Arial"/>
          <w:color w:val="000000"/>
        </w:rPr>
      </w:pPr>
      <w:r w:rsidRPr="004569C6">
        <w:rPr>
          <w:rFonts w:ascii="Arial" w:hAnsi="Arial" w:cs="Arial"/>
          <w:color w:val="000000"/>
        </w:rPr>
        <w:t xml:space="preserve">benefits of vaccination against COVID-19; </w:t>
      </w:r>
    </w:p>
    <w:p w:rsidR="004569C6" w:rsidRDefault="00DE41CC" w:rsidP="004569C6">
      <w:pPr>
        <w:pStyle w:val="ListParagraph"/>
        <w:numPr>
          <w:ilvl w:val="0"/>
          <w:numId w:val="3"/>
        </w:numPr>
        <w:autoSpaceDE w:val="0"/>
        <w:autoSpaceDN w:val="0"/>
        <w:adjustRightInd w:val="0"/>
        <w:spacing w:after="36" w:line="240" w:lineRule="auto"/>
        <w:rPr>
          <w:rFonts w:ascii="Arial" w:hAnsi="Arial" w:cs="Arial"/>
          <w:color w:val="000000"/>
        </w:rPr>
      </w:pPr>
      <w:r w:rsidRPr="004569C6">
        <w:rPr>
          <w:rFonts w:ascii="Arial" w:hAnsi="Arial" w:cs="Arial"/>
          <w:color w:val="000000"/>
        </w:rPr>
        <w:t xml:space="preserve">risks of not being vaccinated against COVID-19; and </w:t>
      </w:r>
    </w:p>
    <w:p w:rsidR="00DE41CC" w:rsidRPr="004569C6" w:rsidRDefault="00DE41CC" w:rsidP="004569C6">
      <w:pPr>
        <w:pStyle w:val="ListParagraph"/>
        <w:numPr>
          <w:ilvl w:val="0"/>
          <w:numId w:val="3"/>
        </w:numPr>
        <w:autoSpaceDE w:val="0"/>
        <w:autoSpaceDN w:val="0"/>
        <w:adjustRightInd w:val="0"/>
        <w:spacing w:after="36" w:line="240" w:lineRule="auto"/>
        <w:rPr>
          <w:rFonts w:ascii="Arial" w:hAnsi="Arial" w:cs="Arial"/>
          <w:color w:val="000000"/>
        </w:rPr>
      </w:pPr>
      <w:proofErr w:type="gramStart"/>
      <w:r w:rsidRPr="004569C6">
        <w:rPr>
          <w:rFonts w:ascii="Arial" w:hAnsi="Arial" w:cs="Arial"/>
          <w:color w:val="000000"/>
        </w:rPr>
        <w:t>possible</w:t>
      </w:r>
      <w:proofErr w:type="gramEnd"/>
      <w:r w:rsidRPr="004569C6">
        <w:rPr>
          <w:rFonts w:ascii="Arial" w:hAnsi="Arial" w:cs="Arial"/>
          <w:color w:val="000000"/>
        </w:rPr>
        <w:t xml:space="preserve"> side effects of COVID-19 vaccination. </w:t>
      </w:r>
    </w:p>
    <w:p w:rsidR="00DE41CC" w:rsidRDefault="00DE41CC" w:rsidP="00DE41CC">
      <w:pPr>
        <w:autoSpaceDE w:val="0"/>
        <w:autoSpaceDN w:val="0"/>
        <w:adjustRightInd w:val="0"/>
        <w:spacing w:after="0" w:line="240" w:lineRule="auto"/>
        <w:rPr>
          <w:rFonts w:ascii="Arial" w:hAnsi="Arial" w:cs="Arial"/>
          <w:color w:val="000000"/>
        </w:rPr>
      </w:pPr>
    </w:p>
    <w:p w:rsidR="00DE41CC" w:rsidRDefault="00DE41CC" w:rsidP="00DE41CC">
      <w:pPr>
        <w:autoSpaceDE w:val="0"/>
        <w:autoSpaceDN w:val="0"/>
        <w:adjustRightInd w:val="0"/>
        <w:spacing w:after="0" w:line="240" w:lineRule="auto"/>
        <w:rPr>
          <w:rFonts w:asciiTheme="majorHAnsi" w:hAnsiTheme="majorHAnsi" w:cstheme="majorHAnsi"/>
          <w:bCs/>
          <w:color w:val="FF0000"/>
          <w:sz w:val="36"/>
          <w:szCs w:val="36"/>
        </w:rPr>
      </w:pPr>
      <w:r w:rsidRPr="00DE41CC">
        <w:rPr>
          <w:rFonts w:asciiTheme="majorHAnsi" w:hAnsiTheme="majorHAnsi" w:cstheme="majorHAnsi"/>
          <w:bCs/>
          <w:color w:val="FF0000"/>
          <w:sz w:val="36"/>
          <w:szCs w:val="36"/>
        </w:rPr>
        <w:t>Support for Vaccination</w:t>
      </w:r>
    </w:p>
    <w:p w:rsidR="001E5E11" w:rsidRPr="001E5E11" w:rsidRDefault="00A85503" w:rsidP="00DE41CC">
      <w:pPr>
        <w:autoSpaceDE w:val="0"/>
        <w:autoSpaceDN w:val="0"/>
        <w:adjustRightInd w:val="0"/>
        <w:spacing w:after="0" w:line="240" w:lineRule="auto"/>
        <w:rPr>
          <w:rFonts w:ascii="Arial" w:hAnsi="Arial" w:cs="Arial"/>
          <w:bCs/>
          <w:color w:val="FF0000"/>
        </w:rPr>
      </w:pPr>
      <w:r w:rsidRPr="004569C6">
        <w:rPr>
          <w:rFonts w:ascii="Arial" w:hAnsi="Arial" w:cs="Arial"/>
          <w:sz w:val="20"/>
          <w:szCs w:val="20"/>
          <w:highlight w:val="yellow"/>
        </w:rPr>
        <w:t>4 Per the Directive, this option is at the discretion of the Covered Organization</w:t>
      </w:r>
      <w:r>
        <w:rPr>
          <w:sz w:val="16"/>
          <w:szCs w:val="16"/>
        </w:rPr>
        <w:t xml:space="preserve">. </w:t>
      </w:r>
      <w:r>
        <w:t xml:space="preserve"> </w:t>
      </w:r>
    </w:p>
    <w:p w:rsidR="00A85503" w:rsidRDefault="00A85503" w:rsidP="00DE41CC">
      <w:pPr>
        <w:autoSpaceDE w:val="0"/>
        <w:autoSpaceDN w:val="0"/>
        <w:adjustRightInd w:val="0"/>
        <w:spacing w:after="0" w:line="240" w:lineRule="auto"/>
        <w:rPr>
          <w:rFonts w:ascii="Arial" w:hAnsi="Arial" w:cs="Arial"/>
          <w:i/>
          <w:iCs/>
        </w:rPr>
      </w:pPr>
    </w:p>
    <w:p w:rsidR="00DE41CC" w:rsidRPr="00DE41CC" w:rsidRDefault="00DE41CC" w:rsidP="00DE41CC">
      <w:pPr>
        <w:autoSpaceDE w:val="0"/>
        <w:autoSpaceDN w:val="0"/>
        <w:adjustRightInd w:val="0"/>
        <w:spacing w:after="0" w:line="240" w:lineRule="auto"/>
        <w:rPr>
          <w:rFonts w:ascii="Arial" w:hAnsi="Arial" w:cs="Arial"/>
          <w:color w:val="000000"/>
        </w:rPr>
      </w:pPr>
      <w:r w:rsidRPr="004569C6">
        <w:rPr>
          <w:rFonts w:ascii="Arial" w:hAnsi="Arial" w:cs="Arial"/>
          <w:i/>
          <w:iCs/>
          <w:highlight w:val="yellow"/>
        </w:rPr>
        <w:t>ABC Covered Organization</w:t>
      </w:r>
      <w:r w:rsidRPr="00DE41CC">
        <w:rPr>
          <w:rFonts w:ascii="Arial" w:hAnsi="Arial" w:cs="Arial"/>
          <w:i/>
          <w:iCs/>
        </w:rPr>
        <w:t xml:space="preserve"> </w:t>
      </w:r>
      <w:r w:rsidRPr="00DE41CC">
        <w:rPr>
          <w:rFonts w:ascii="Arial" w:hAnsi="Arial" w:cs="Arial"/>
        </w:rPr>
        <w:t>will provide the following supports for people subject to this policy to receive a vaccine: ______________</w:t>
      </w:r>
      <w:r>
        <w:rPr>
          <w:rFonts w:ascii="Arial" w:hAnsi="Arial" w:cs="Arial"/>
        </w:rPr>
        <w:t xml:space="preserve"> </w:t>
      </w:r>
      <w:r w:rsidRPr="00DE41CC">
        <w:rPr>
          <w:rFonts w:ascii="Arial" w:hAnsi="Arial" w:cs="Arial"/>
        </w:rPr>
        <w:t>(for example: paid time off, assistance with booking vaccine appointment, peer-to-peer support, etc.).</w:t>
      </w:r>
    </w:p>
    <w:p w:rsidR="001E5E11" w:rsidRDefault="001E5E11" w:rsidP="00DE41CC">
      <w:pPr>
        <w:autoSpaceDE w:val="0"/>
        <w:autoSpaceDN w:val="0"/>
        <w:adjustRightInd w:val="0"/>
        <w:spacing w:after="0" w:line="240" w:lineRule="auto"/>
        <w:rPr>
          <w:rFonts w:ascii="Arial" w:hAnsi="Arial" w:cs="Arial"/>
          <w:b/>
          <w:bCs/>
        </w:rPr>
      </w:pPr>
    </w:p>
    <w:p w:rsidR="001E5E11" w:rsidRDefault="001E5E11" w:rsidP="00DE41CC">
      <w:pPr>
        <w:autoSpaceDE w:val="0"/>
        <w:autoSpaceDN w:val="0"/>
        <w:adjustRightInd w:val="0"/>
        <w:spacing w:after="0" w:line="240" w:lineRule="auto"/>
        <w:rPr>
          <w:rFonts w:ascii="Arial" w:hAnsi="Arial" w:cs="Arial"/>
          <w:b/>
          <w:bCs/>
        </w:rPr>
      </w:pPr>
    </w:p>
    <w:p w:rsidR="00DE41CC" w:rsidRPr="00DE41CC" w:rsidRDefault="00DE41CC" w:rsidP="00DE41CC">
      <w:pPr>
        <w:autoSpaceDE w:val="0"/>
        <w:autoSpaceDN w:val="0"/>
        <w:adjustRightInd w:val="0"/>
        <w:spacing w:after="0" w:line="240" w:lineRule="auto"/>
        <w:rPr>
          <w:rFonts w:asciiTheme="majorHAnsi" w:hAnsiTheme="majorHAnsi" w:cstheme="majorHAnsi"/>
          <w:color w:val="FF0000"/>
          <w:sz w:val="36"/>
          <w:szCs w:val="36"/>
        </w:rPr>
      </w:pPr>
      <w:r w:rsidRPr="00DE41CC">
        <w:rPr>
          <w:rFonts w:asciiTheme="majorHAnsi" w:hAnsiTheme="majorHAnsi" w:cstheme="majorHAnsi"/>
          <w:bCs/>
          <w:color w:val="FF0000"/>
          <w:sz w:val="36"/>
          <w:szCs w:val="36"/>
        </w:rPr>
        <w:t xml:space="preserve">Non-compliance with the policy </w:t>
      </w:r>
    </w:p>
    <w:p w:rsidR="00DE41CC" w:rsidRDefault="00DE41CC" w:rsidP="00DE41CC">
      <w:pPr>
        <w:rPr>
          <w:rFonts w:ascii="Arial" w:hAnsi="Arial" w:cs="Arial"/>
          <w:color w:val="000000"/>
        </w:rPr>
      </w:pPr>
      <w:r w:rsidRPr="00DE41CC">
        <w:rPr>
          <w:rFonts w:ascii="Arial" w:hAnsi="Arial" w:cs="Arial"/>
          <w:color w:val="000000"/>
        </w:rPr>
        <w:t xml:space="preserve">In accordance with </w:t>
      </w:r>
      <w:r w:rsidRPr="004569C6">
        <w:rPr>
          <w:rFonts w:ascii="Arial" w:hAnsi="Arial" w:cs="Arial"/>
          <w:i/>
          <w:iCs/>
          <w:color w:val="000000"/>
          <w:highlight w:val="yellow"/>
        </w:rPr>
        <w:t>ABC Covered Organization’s</w:t>
      </w:r>
      <w:r w:rsidRPr="00DE41CC">
        <w:rPr>
          <w:rFonts w:ascii="Arial" w:hAnsi="Arial" w:cs="Arial"/>
          <w:i/>
          <w:iCs/>
          <w:color w:val="000000"/>
        </w:rPr>
        <w:t xml:space="preserve"> </w:t>
      </w:r>
      <w:r w:rsidRPr="00DE41CC">
        <w:rPr>
          <w:rFonts w:ascii="Arial" w:hAnsi="Arial" w:cs="Arial"/>
          <w:color w:val="000000"/>
        </w:rPr>
        <w:t>human resources policies, collective agreements and applicable legislation, directives, and policies _________________.</w:t>
      </w:r>
    </w:p>
    <w:p w:rsidR="00DE41CC" w:rsidRPr="00DE41CC" w:rsidRDefault="00DE41CC" w:rsidP="00DE41CC">
      <w:pPr>
        <w:autoSpaceDE w:val="0"/>
        <w:autoSpaceDN w:val="0"/>
        <w:adjustRightInd w:val="0"/>
        <w:spacing w:after="0" w:line="240" w:lineRule="auto"/>
        <w:rPr>
          <w:rFonts w:asciiTheme="majorHAnsi" w:hAnsiTheme="majorHAnsi" w:cstheme="majorHAnsi"/>
          <w:color w:val="FF0000"/>
          <w:sz w:val="36"/>
          <w:szCs w:val="36"/>
        </w:rPr>
      </w:pPr>
      <w:r w:rsidRPr="00DE41CC">
        <w:rPr>
          <w:rFonts w:asciiTheme="majorHAnsi" w:hAnsiTheme="majorHAnsi" w:cstheme="majorHAnsi"/>
          <w:bCs/>
          <w:color w:val="FF0000"/>
          <w:sz w:val="36"/>
          <w:szCs w:val="36"/>
        </w:rPr>
        <w:t xml:space="preserve">Confidentiality Statement </w:t>
      </w:r>
    </w:p>
    <w:p w:rsidR="00825C00" w:rsidRDefault="00DE41CC" w:rsidP="00736AF8">
      <w:pPr>
        <w:rPr>
          <w:rFonts w:ascii="Arial" w:hAnsi="Arial" w:cs="Arial"/>
          <w:color w:val="000000"/>
        </w:rPr>
      </w:pPr>
      <w:r w:rsidRPr="004569C6">
        <w:rPr>
          <w:rFonts w:ascii="Arial" w:hAnsi="Arial" w:cs="Arial"/>
          <w:i/>
          <w:iCs/>
          <w:color w:val="000000"/>
          <w:highlight w:val="yellow"/>
        </w:rPr>
        <w:t>ABC Covered Organization</w:t>
      </w:r>
      <w:r w:rsidRPr="00DE41CC">
        <w:rPr>
          <w:rFonts w:ascii="Arial" w:hAnsi="Arial" w:cs="Arial"/>
          <w:i/>
          <w:iCs/>
          <w:color w:val="000000"/>
        </w:rPr>
        <w:t xml:space="preserve"> </w:t>
      </w:r>
      <w:r w:rsidRPr="00DE41CC">
        <w:rPr>
          <w:rFonts w:ascii="Arial" w:hAnsi="Arial" w:cs="Arial"/>
          <w:color w:val="000000"/>
        </w:rPr>
        <w:t xml:space="preserve">is required, pursuant to the </w:t>
      </w:r>
      <w:r w:rsidRPr="00DE41CC">
        <w:rPr>
          <w:rFonts w:ascii="Arial" w:hAnsi="Arial" w:cs="Arial"/>
          <w:i/>
          <w:iCs/>
          <w:color w:val="000000"/>
        </w:rPr>
        <w:t xml:space="preserve">Chief Medical Officer of Health’s Directive #6 for Public Hospitals within the meaning of the Public Hospitals Act </w:t>
      </w:r>
      <w:r w:rsidRPr="00DE41CC">
        <w:rPr>
          <w:rFonts w:ascii="Arial" w:hAnsi="Arial" w:cs="Arial"/>
          <w:color w:val="000000"/>
        </w:rPr>
        <w:t xml:space="preserve">and Service Providers in accordance with the </w:t>
      </w:r>
      <w:r w:rsidRPr="00DE41CC">
        <w:rPr>
          <w:rFonts w:ascii="Arial" w:hAnsi="Arial" w:cs="Arial"/>
          <w:i/>
          <w:iCs/>
          <w:color w:val="000000"/>
        </w:rPr>
        <w:t xml:space="preserve">Home Care and Community Service Act, 1994, </w:t>
      </w:r>
      <w:r w:rsidRPr="00DE41CC">
        <w:rPr>
          <w:rFonts w:ascii="Arial" w:hAnsi="Arial" w:cs="Arial"/>
          <w:color w:val="000000"/>
        </w:rPr>
        <w:t xml:space="preserve">Local Health Integration Networks within the meaning of the </w:t>
      </w:r>
      <w:r w:rsidRPr="00DE41CC">
        <w:rPr>
          <w:rFonts w:ascii="Arial" w:hAnsi="Arial" w:cs="Arial"/>
          <w:i/>
          <w:iCs/>
          <w:color w:val="000000"/>
        </w:rPr>
        <w:t>Local Health System Integration Act, 2006 and Ambulance Services within the meaning of the Ambulance Act (</w:t>
      </w:r>
      <w:r w:rsidRPr="00DE41CC">
        <w:rPr>
          <w:rFonts w:ascii="Arial" w:hAnsi="Arial" w:cs="Arial"/>
          <w:color w:val="000000"/>
        </w:rPr>
        <w:t xml:space="preserve">operating as Home and Community Care Support Services) providing long-term care home placement services </w:t>
      </w:r>
      <w:r w:rsidRPr="00DE41CC">
        <w:rPr>
          <w:rFonts w:ascii="Arial" w:hAnsi="Arial" w:cs="Arial"/>
          <w:i/>
          <w:iCs/>
          <w:color w:val="000000"/>
        </w:rPr>
        <w:t>COVID-19 Immunization Policy</w:t>
      </w:r>
      <w:r w:rsidRPr="00DE41CC">
        <w:rPr>
          <w:rFonts w:ascii="Arial" w:hAnsi="Arial" w:cs="Arial"/>
          <w:b/>
          <w:bCs/>
          <w:color w:val="000000"/>
        </w:rPr>
        <w:t xml:space="preserve">, </w:t>
      </w:r>
      <w:r w:rsidRPr="00DE41CC">
        <w:rPr>
          <w:rFonts w:ascii="Arial" w:hAnsi="Arial" w:cs="Arial"/>
          <w:color w:val="000000"/>
        </w:rPr>
        <w:t>to report statistical information to the OCMOH or the ministry. No identifying information will be provided to the ministry in relation to this policy; all statistical information will be provided in aggregate form.</w:t>
      </w:r>
    </w:p>
    <w:p w:rsidR="00736AF8" w:rsidRPr="00825C00" w:rsidRDefault="00825C00" w:rsidP="00736AF8">
      <w:pPr>
        <w:rPr>
          <w:rFonts w:ascii="Arial" w:hAnsi="Arial" w:cs="Arial"/>
          <w:color w:val="000000"/>
        </w:rPr>
      </w:pPr>
      <w:r w:rsidRPr="00825C00">
        <w:rPr>
          <w:rFonts w:ascii="Arial" w:hAnsi="Arial" w:cs="Arial"/>
          <w:b/>
          <w:bCs/>
          <w:noProof/>
          <w:color w:val="000000"/>
          <w:sz w:val="20"/>
          <w:szCs w:val="20"/>
        </w:rPr>
        <mc:AlternateContent>
          <mc:Choice Requires="wps">
            <w:drawing>
              <wp:anchor distT="45720" distB="45720" distL="114300" distR="114300" simplePos="0" relativeHeight="251659264" behindDoc="0" locked="0" layoutInCell="1" allowOverlap="1" wp14:anchorId="7367AA72" wp14:editId="6B02BC7D">
                <wp:simplePos x="0" y="0"/>
                <wp:positionH relativeFrom="column">
                  <wp:posOffset>6350</wp:posOffset>
                </wp:positionH>
                <wp:positionV relativeFrom="paragraph">
                  <wp:posOffset>157480</wp:posOffset>
                </wp:positionV>
                <wp:extent cx="5925185" cy="2501900"/>
                <wp:effectExtent l="0" t="0" r="18415" b="1270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5185" cy="2501900"/>
                        </a:xfrm>
                        <a:prstGeom prst="rect">
                          <a:avLst/>
                        </a:prstGeom>
                        <a:solidFill>
                          <a:srgbClr val="FFFFFF"/>
                        </a:solidFill>
                        <a:ln w="9525">
                          <a:solidFill>
                            <a:srgbClr val="000000"/>
                          </a:solidFill>
                          <a:miter lim="800000"/>
                          <a:headEnd/>
                          <a:tailEnd/>
                        </a:ln>
                      </wps:spPr>
                      <wps:txbx>
                        <w:txbxContent>
                          <w:p w:rsidR="00825C00" w:rsidRPr="00DE41CC" w:rsidRDefault="00825C00" w:rsidP="00825C00">
                            <w:pPr>
                              <w:autoSpaceDE w:val="0"/>
                              <w:autoSpaceDN w:val="0"/>
                              <w:adjustRightInd w:val="0"/>
                              <w:spacing w:after="0" w:line="240" w:lineRule="auto"/>
                              <w:rPr>
                                <w:rFonts w:ascii="Arial" w:hAnsi="Arial" w:cs="Arial"/>
                                <w:color w:val="000000"/>
                                <w:sz w:val="20"/>
                                <w:szCs w:val="20"/>
                              </w:rPr>
                            </w:pPr>
                            <w:r w:rsidRPr="00DE41CC">
                              <w:rPr>
                                <w:rFonts w:ascii="Arial" w:hAnsi="Arial" w:cs="Arial"/>
                                <w:b/>
                                <w:bCs/>
                                <w:color w:val="000000"/>
                                <w:sz w:val="20"/>
                                <w:szCs w:val="20"/>
                              </w:rPr>
                              <w:t xml:space="preserve">Disclaimer: </w:t>
                            </w:r>
                          </w:p>
                          <w:p w:rsidR="00825C00" w:rsidRPr="00DE41CC" w:rsidRDefault="00825C00" w:rsidP="00825C00">
                            <w:pPr>
                              <w:autoSpaceDE w:val="0"/>
                              <w:autoSpaceDN w:val="0"/>
                              <w:adjustRightInd w:val="0"/>
                              <w:spacing w:after="0" w:line="240" w:lineRule="auto"/>
                              <w:rPr>
                                <w:rFonts w:ascii="Arial" w:hAnsi="Arial" w:cs="Arial"/>
                                <w:color w:val="000000"/>
                                <w:sz w:val="20"/>
                                <w:szCs w:val="20"/>
                              </w:rPr>
                            </w:pPr>
                            <w:r w:rsidRPr="00DE41CC">
                              <w:rPr>
                                <w:rFonts w:ascii="Arial" w:hAnsi="Arial" w:cs="Arial"/>
                                <w:color w:val="000000"/>
                                <w:sz w:val="20"/>
                                <w:szCs w:val="20"/>
                              </w:rPr>
                              <w:t xml:space="preserve">This document is an example of a policy based on the </w:t>
                            </w:r>
                            <w:r w:rsidRPr="00DE41CC">
                              <w:rPr>
                                <w:rFonts w:ascii="Arial" w:hAnsi="Arial" w:cs="Arial"/>
                                <w:i/>
                                <w:iCs/>
                                <w:color w:val="000000"/>
                                <w:sz w:val="20"/>
                                <w:szCs w:val="20"/>
                              </w:rPr>
                              <w:t>Chief Medical Officer of Health’s Directive #6</w:t>
                            </w:r>
                            <w:r w:rsidRPr="00DE41CC">
                              <w:rPr>
                                <w:rFonts w:ascii="Arial" w:hAnsi="Arial" w:cs="Arial"/>
                                <w:color w:val="000000"/>
                                <w:sz w:val="20"/>
                                <w:szCs w:val="20"/>
                              </w:rPr>
                              <w:t xml:space="preserve">. It is intended for illustrative purposes only. It is the responsibility of the Covered Organization to ensure that the information included in their policy meets all requirements under the Chief Medical Officer of Health’s Directive and applicable legislation and reflects the individual circumstances and needs of each Covered Organization in accordance with the Directive and other applicable legislation. </w:t>
                            </w:r>
                          </w:p>
                          <w:p w:rsidR="00825C00" w:rsidRPr="00DE41CC" w:rsidRDefault="00825C00" w:rsidP="00825C00">
                            <w:pPr>
                              <w:autoSpaceDE w:val="0"/>
                              <w:autoSpaceDN w:val="0"/>
                              <w:adjustRightInd w:val="0"/>
                              <w:spacing w:after="0" w:line="240" w:lineRule="auto"/>
                              <w:rPr>
                                <w:rFonts w:ascii="Arial" w:hAnsi="Arial" w:cs="Arial"/>
                                <w:color w:val="000000"/>
                                <w:sz w:val="20"/>
                                <w:szCs w:val="20"/>
                              </w:rPr>
                            </w:pPr>
                            <w:r w:rsidRPr="00DE41CC">
                              <w:rPr>
                                <w:rFonts w:ascii="Arial" w:hAnsi="Arial" w:cs="Arial"/>
                                <w:color w:val="000000"/>
                                <w:sz w:val="20"/>
                                <w:szCs w:val="20"/>
                              </w:rPr>
                              <w:t xml:space="preserve">Please be advised that this example of a policy </w:t>
                            </w:r>
                            <w:r w:rsidRPr="00DE41CC">
                              <w:rPr>
                                <w:rFonts w:ascii="Arial" w:hAnsi="Arial" w:cs="Arial"/>
                                <w:b/>
                                <w:bCs/>
                                <w:color w:val="000000"/>
                                <w:sz w:val="20"/>
                                <w:szCs w:val="20"/>
                              </w:rPr>
                              <w:t xml:space="preserve">does not constitute legal advice </w:t>
                            </w:r>
                            <w:r w:rsidRPr="00DE41CC">
                              <w:rPr>
                                <w:rFonts w:ascii="Arial" w:hAnsi="Arial" w:cs="Arial"/>
                                <w:color w:val="000000"/>
                                <w:sz w:val="20"/>
                                <w:szCs w:val="20"/>
                              </w:rPr>
                              <w:t xml:space="preserve">and should not be relied on as such. The information provided in this document does not impact the Ministry’s authority to enforce the </w:t>
                            </w:r>
                            <w:r w:rsidRPr="00DE41CC">
                              <w:rPr>
                                <w:rFonts w:ascii="Arial" w:hAnsi="Arial" w:cs="Arial"/>
                                <w:i/>
                                <w:iCs/>
                                <w:color w:val="000000"/>
                                <w:sz w:val="20"/>
                                <w:szCs w:val="20"/>
                              </w:rPr>
                              <w:t xml:space="preserve">Public Hospitals Act, the Home Care and Community Services Act, </w:t>
                            </w:r>
                            <w:proofErr w:type="gramStart"/>
                            <w:r w:rsidRPr="00DE41CC">
                              <w:rPr>
                                <w:rFonts w:ascii="Arial" w:hAnsi="Arial" w:cs="Arial"/>
                                <w:i/>
                                <w:iCs/>
                                <w:color w:val="000000"/>
                                <w:sz w:val="20"/>
                                <w:szCs w:val="20"/>
                              </w:rPr>
                              <w:t xml:space="preserve">1994 </w:t>
                            </w:r>
                            <w:r w:rsidRPr="00DE41CC">
                              <w:rPr>
                                <w:rFonts w:ascii="Arial" w:hAnsi="Arial" w:cs="Arial"/>
                                <w:color w:val="000000"/>
                                <w:sz w:val="20"/>
                                <w:szCs w:val="20"/>
                              </w:rPr>
                              <w:t>;</w:t>
                            </w:r>
                            <w:proofErr w:type="gramEnd"/>
                            <w:r w:rsidRPr="00DE41CC">
                              <w:rPr>
                                <w:rFonts w:ascii="Arial" w:hAnsi="Arial" w:cs="Arial"/>
                                <w:color w:val="000000"/>
                                <w:sz w:val="20"/>
                                <w:szCs w:val="20"/>
                              </w:rPr>
                              <w:t xml:space="preserve"> the </w:t>
                            </w:r>
                            <w:r w:rsidRPr="00DE41CC">
                              <w:rPr>
                                <w:rFonts w:ascii="Arial" w:hAnsi="Arial" w:cs="Arial"/>
                                <w:i/>
                                <w:iCs/>
                                <w:color w:val="000000"/>
                                <w:sz w:val="20"/>
                                <w:szCs w:val="20"/>
                              </w:rPr>
                              <w:t>Local Health System Integration Act, 2006</w:t>
                            </w:r>
                            <w:r w:rsidRPr="00DE41CC">
                              <w:rPr>
                                <w:rFonts w:ascii="Arial" w:hAnsi="Arial" w:cs="Arial"/>
                                <w:color w:val="000000"/>
                                <w:sz w:val="20"/>
                                <w:szCs w:val="20"/>
                              </w:rPr>
                              <w:t xml:space="preserve">, and the </w:t>
                            </w:r>
                            <w:r w:rsidRPr="00DE41CC">
                              <w:rPr>
                                <w:rFonts w:ascii="Arial" w:hAnsi="Arial" w:cs="Arial"/>
                                <w:i/>
                                <w:iCs/>
                                <w:color w:val="000000"/>
                                <w:sz w:val="20"/>
                                <w:szCs w:val="20"/>
                              </w:rPr>
                              <w:t xml:space="preserve">Ambulance Act, R.S.O. 1990. </w:t>
                            </w:r>
                            <w:r w:rsidRPr="00DE41CC">
                              <w:rPr>
                                <w:rFonts w:ascii="Arial" w:hAnsi="Arial" w:cs="Arial"/>
                                <w:color w:val="000000"/>
                                <w:sz w:val="20"/>
                                <w:szCs w:val="20"/>
                              </w:rPr>
                              <w:t xml:space="preserve">Ministry employees will continue to enforce such legislation based on the facts as they may find them at the time of any inspection or investigation. </w:t>
                            </w:r>
                          </w:p>
                          <w:p w:rsidR="00825C00" w:rsidRDefault="00825C00" w:rsidP="00825C00">
                            <w:pPr>
                              <w:rPr>
                                <w:rFonts w:ascii="Arial" w:hAnsi="Arial" w:cs="Arial"/>
                                <w:color w:val="000000"/>
                                <w:sz w:val="20"/>
                                <w:szCs w:val="20"/>
                              </w:rPr>
                            </w:pPr>
                            <w:r w:rsidRPr="00DE41CC">
                              <w:rPr>
                                <w:rFonts w:ascii="Arial" w:hAnsi="Arial" w:cs="Arial"/>
                                <w:color w:val="000000"/>
                                <w:sz w:val="20"/>
                                <w:szCs w:val="20"/>
                              </w:rPr>
                              <w:t>It is the responsibility of the Covered Organization to ensure compliance with all applicable legislation, regulations, and Minister’s Directives. If the Covered Organization requires assistance with respect to the interpretation of the legislation, regulations, and Minister’s Directives and their application, the Covered Organization may wish to consult legal counsel.</w:t>
                            </w:r>
                          </w:p>
                          <w:p w:rsidR="00825C00" w:rsidRDefault="00825C0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367AA72" id="_x0000_t202" coordsize="21600,21600" o:spt="202" path="m,l,21600r21600,l21600,xe">
                <v:stroke joinstyle="miter"/>
                <v:path gradientshapeok="t" o:connecttype="rect"/>
              </v:shapetype>
              <v:shape id="Text Box 2" o:spid="_x0000_s1026" type="#_x0000_t202" style="position:absolute;margin-left:.5pt;margin-top:12.4pt;width:466.55pt;height:197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">
                <v:textbox>
                  <w:txbxContent>
                    <w:p w:rsidR="00825C00" w:rsidRPr="00DE41CC" w:rsidRDefault="00825C00" w:rsidP="00825C00">
                      <w:pPr>
                        <w:autoSpaceDE w:val="0"/>
                        <w:autoSpaceDN w:val="0"/>
                        <w:adjustRightInd w:val="0"/>
                        <w:spacing w:after="0" w:line="240" w:lineRule="auto"/>
                        <w:rPr>
                          <w:rFonts w:ascii="Arial" w:hAnsi="Arial" w:cs="Arial"/>
                          <w:color w:val="000000"/>
                          <w:sz w:val="20"/>
                          <w:szCs w:val="20"/>
                        </w:rPr>
                      </w:pPr>
                      <w:r w:rsidRPr="00DE41CC">
                        <w:rPr>
                          <w:rFonts w:ascii="Arial" w:hAnsi="Arial" w:cs="Arial"/>
                          <w:b/>
                          <w:bCs/>
                          <w:color w:val="000000"/>
                          <w:sz w:val="20"/>
                          <w:szCs w:val="20"/>
                        </w:rPr>
                        <w:t xml:space="preserve">Disclaimer: </w:t>
                      </w:r>
                    </w:p>
                    <w:p w:rsidR="00825C00" w:rsidRPr="00DE41CC" w:rsidRDefault="00825C00" w:rsidP="00825C00">
                      <w:pPr>
                        <w:autoSpaceDE w:val="0"/>
                        <w:autoSpaceDN w:val="0"/>
                        <w:adjustRightInd w:val="0"/>
                        <w:spacing w:after="0" w:line="240" w:lineRule="auto"/>
                        <w:rPr>
                          <w:rFonts w:ascii="Arial" w:hAnsi="Arial" w:cs="Arial"/>
                          <w:color w:val="000000"/>
                          <w:sz w:val="20"/>
                          <w:szCs w:val="20"/>
                        </w:rPr>
                      </w:pPr>
                      <w:r w:rsidRPr="00DE41CC">
                        <w:rPr>
                          <w:rFonts w:ascii="Arial" w:hAnsi="Arial" w:cs="Arial"/>
                          <w:color w:val="000000"/>
                          <w:sz w:val="20"/>
                          <w:szCs w:val="20"/>
                        </w:rPr>
                        <w:t xml:space="preserve">This document is an example of a policy based on the </w:t>
                      </w:r>
                      <w:r w:rsidRPr="00DE41CC">
                        <w:rPr>
                          <w:rFonts w:ascii="Arial" w:hAnsi="Arial" w:cs="Arial"/>
                          <w:i/>
                          <w:iCs/>
                          <w:color w:val="000000"/>
                          <w:sz w:val="20"/>
                          <w:szCs w:val="20"/>
                        </w:rPr>
                        <w:t>Chief Medical Officer of Health’s Directive #6</w:t>
                      </w:r>
                      <w:r w:rsidRPr="00DE41CC">
                        <w:rPr>
                          <w:rFonts w:ascii="Arial" w:hAnsi="Arial" w:cs="Arial"/>
                          <w:color w:val="000000"/>
                          <w:sz w:val="20"/>
                          <w:szCs w:val="20"/>
                        </w:rPr>
                        <w:t xml:space="preserve">. It is intended for illustrative purposes only. It is the responsibility of the Covered Organization to ensure that the information included in their policy meets all requirements under the Chief Medical Officer of Health’s Directive and applicable legislation and reflects the individual circumstances and needs of each Covered Organization in accordance with the Directive and other applicable legislation. </w:t>
                      </w:r>
                    </w:p>
                    <w:p w:rsidR="00825C00" w:rsidRPr="00DE41CC" w:rsidRDefault="00825C00" w:rsidP="00825C00">
                      <w:pPr>
                        <w:autoSpaceDE w:val="0"/>
                        <w:autoSpaceDN w:val="0"/>
                        <w:adjustRightInd w:val="0"/>
                        <w:spacing w:after="0" w:line="240" w:lineRule="auto"/>
                        <w:rPr>
                          <w:rFonts w:ascii="Arial" w:hAnsi="Arial" w:cs="Arial"/>
                          <w:color w:val="000000"/>
                          <w:sz w:val="20"/>
                          <w:szCs w:val="20"/>
                        </w:rPr>
                      </w:pPr>
                      <w:r w:rsidRPr="00DE41CC">
                        <w:rPr>
                          <w:rFonts w:ascii="Arial" w:hAnsi="Arial" w:cs="Arial"/>
                          <w:color w:val="000000"/>
                          <w:sz w:val="20"/>
                          <w:szCs w:val="20"/>
                        </w:rPr>
                        <w:t xml:space="preserve">Please be advised that this example of a policy </w:t>
                      </w:r>
                      <w:r w:rsidRPr="00DE41CC">
                        <w:rPr>
                          <w:rFonts w:ascii="Arial" w:hAnsi="Arial" w:cs="Arial"/>
                          <w:b/>
                          <w:bCs/>
                          <w:color w:val="000000"/>
                          <w:sz w:val="20"/>
                          <w:szCs w:val="20"/>
                        </w:rPr>
                        <w:t xml:space="preserve">does not constitute legal advice </w:t>
                      </w:r>
                      <w:r w:rsidRPr="00DE41CC">
                        <w:rPr>
                          <w:rFonts w:ascii="Arial" w:hAnsi="Arial" w:cs="Arial"/>
                          <w:color w:val="000000"/>
                          <w:sz w:val="20"/>
                          <w:szCs w:val="20"/>
                        </w:rPr>
                        <w:t xml:space="preserve">and should not be relied on as such. The information provided in this document does not impact the Ministry’s authority to enforce the </w:t>
                      </w:r>
                      <w:r w:rsidRPr="00DE41CC">
                        <w:rPr>
                          <w:rFonts w:ascii="Arial" w:hAnsi="Arial" w:cs="Arial"/>
                          <w:i/>
                          <w:iCs/>
                          <w:color w:val="000000"/>
                          <w:sz w:val="20"/>
                          <w:szCs w:val="20"/>
                        </w:rPr>
                        <w:t xml:space="preserve">Public Hospitals Act, the Home Care and Community Services Act, </w:t>
                      </w:r>
                      <w:proofErr w:type="gramStart"/>
                      <w:r w:rsidRPr="00DE41CC">
                        <w:rPr>
                          <w:rFonts w:ascii="Arial" w:hAnsi="Arial" w:cs="Arial"/>
                          <w:i/>
                          <w:iCs/>
                          <w:color w:val="000000"/>
                          <w:sz w:val="20"/>
                          <w:szCs w:val="20"/>
                        </w:rPr>
                        <w:t xml:space="preserve">1994 </w:t>
                      </w:r>
                      <w:r w:rsidRPr="00DE41CC">
                        <w:rPr>
                          <w:rFonts w:ascii="Arial" w:hAnsi="Arial" w:cs="Arial"/>
                          <w:color w:val="000000"/>
                          <w:sz w:val="20"/>
                          <w:szCs w:val="20"/>
                        </w:rPr>
                        <w:t>;</w:t>
                      </w:r>
                      <w:proofErr w:type="gramEnd"/>
                      <w:r w:rsidRPr="00DE41CC">
                        <w:rPr>
                          <w:rFonts w:ascii="Arial" w:hAnsi="Arial" w:cs="Arial"/>
                          <w:color w:val="000000"/>
                          <w:sz w:val="20"/>
                          <w:szCs w:val="20"/>
                        </w:rPr>
                        <w:t xml:space="preserve"> the </w:t>
                      </w:r>
                      <w:r w:rsidRPr="00DE41CC">
                        <w:rPr>
                          <w:rFonts w:ascii="Arial" w:hAnsi="Arial" w:cs="Arial"/>
                          <w:i/>
                          <w:iCs/>
                          <w:color w:val="000000"/>
                          <w:sz w:val="20"/>
                          <w:szCs w:val="20"/>
                        </w:rPr>
                        <w:t>Local Health System Integration Act, 2006</w:t>
                      </w:r>
                      <w:r w:rsidRPr="00DE41CC">
                        <w:rPr>
                          <w:rFonts w:ascii="Arial" w:hAnsi="Arial" w:cs="Arial"/>
                          <w:color w:val="000000"/>
                          <w:sz w:val="20"/>
                          <w:szCs w:val="20"/>
                        </w:rPr>
                        <w:t xml:space="preserve">, and the </w:t>
                      </w:r>
                      <w:r w:rsidRPr="00DE41CC">
                        <w:rPr>
                          <w:rFonts w:ascii="Arial" w:hAnsi="Arial" w:cs="Arial"/>
                          <w:i/>
                          <w:iCs/>
                          <w:color w:val="000000"/>
                          <w:sz w:val="20"/>
                          <w:szCs w:val="20"/>
                        </w:rPr>
                        <w:t xml:space="preserve">Ambulance Act, R.S.O. 1990. </w:t>
                      </w:r>
                      <w:r w:rsidRPr="00DE41CC">
                        <w:rPr>
                          <w:rFonts w:ascii="Arial" w:hAnsi="Arial" w:cs="Arial"/>
                          <w:color w:val="000000"/>
                          <w:sz w:val="20"/>
                          <w:szCs w:val="20"/>
                        </w:rPr>
                        <w:t xml:space="preserve">Ministry employees will continue to enforce such legislation based on the facts as they may find them at the time of any inspection or investigation. </w:t>
                      </w:r>
                    </w:p>
                    <w:p w:rsidR="00825C00" w:rsidRDefault="00825C00" w:rsidP="00825C00">
                      <w:pPr>
                        <w:rPr>
                          <w:rFonts w:ascii="Arial" w:hAnsi="Arial" w:cs="Arial"/>
                          <w:color w:val="000000"/>
                          <w:sz w:val="20"/>
                          <w:szCs w:val="20"/>
                        </w:rPr>
                      </w:pPr>
                      <w:r w:rsidRPr="00DE41CC">
                        <w:rPr>
                          <w:rFonts w:ascii="Arial" w:hAnsi="Arial" w:cs="Arial"/>
                          <w:color w:val="000000"/>
                          <w:sz w:val="20"/>
                          <w:szCs w:val="20"/>
                        </w:rPr>
                        <w:t>It is the responsibility of the Covered Organization to ensure compliance with all applicable legislation, regulations, and Minister’s Directives. If the Covered Organization requires assistance with respect to the interpretation of the legislation, regulations, and Minister’s Directives and their application, the Covered Organization may wish to consult legal counsel.</w:t>
                      </w:r>
                    </w:p>
                    <w:p w:rsidR="00825C00" w:rsidRDefault="00825C00"/>
                  </w:txbxContent>
                </v:textbox>
              </v:shape>
            </w:pict>
          </mc:Fallback>
        </mc:AlternateContent>
      </w:r>
    </w:p>
    <w:sectPr w:rsidR="00736AF8" w:rsidRPr="00825C00">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41A3" w:rsidRDefault="003C41A3" w:rsidP="003C41A3">
      <w:pPr>
        <w:spacing w:after="0" w:line="240" w:lineRule="auto"/>
      </w:pPr>
      <w:r>
        <w:separator/>
      </w:r>
    </w:p>
  </w:endnote>
  <w:endnote w:type="continuationSeparator" w:id="0">
    <w:p w:rsidR="003C41A3" w:rsidRDefault="003C41A3" w:rsidP="003C41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41A3" w:rsidRDefault="003C41A3" w:rsidP="003C41A3">
    <w:pPr>
      <w:pStyle w:val="Footer"/>
    </w:pPr>
    <w:r>
      <w:t>Subject: COVID-19 Vaccination Policy</w:t>
    </w:r>
  </w:p>
  <w:p w:rsidR="003C41A3" w:rsidRDefault="003C41A3" w:rsidP="003C41A3">
    <w:pPr>
      <w:pStyle w:val="Footer"/>
    </w:pPr>
    <w:r>
      <w:t xml:space="preserve">Policy # - </w:t>
    </w:r>
  </w:p>
  <w:p w:rsidR="003C41A3" w:rsidRDefault="003C41A3" w:rsidP="003C41A3">
    <w:pPr>
      <w:pStyle w:val="Footer"/>
    </w:pPr>
    <w:r>
      <w:t xml:space="preserve">Page </w:t>
    </w:r>
    <w:r w:rsidR="00A85503">
      <w:t xml:space="preserve">–  </w:t>
    </w:r>
  </w:p>
  <w:p w:rsidR="003C41A3" w:rsidRDefault="003C41A3">
    <w:pPr>
      <w:pStyle w:val="Footer"/>
    </w:pPr>
  </w:p>
  <w:p w:rsidR="003C41A3" w:rsidRDefault="003C41A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41A3" w:rsidRDefault="003C41A3" w:rsidP="003C41A3">
      <w:pPr>
        <w:spacing w:after="0" w:line="240" w:lineRule="auto"/>
      </w:pPr>
      <w:r>
        <w:separator/>
      </w:r>
    </w:p>
  </w:footnote>
  <w:footnote w:type="continuationSeparator" w:id="0">
    <w:p w:rsidR="003C41A3" w:rsidRDefault="003C41A3" w:rsidP="003C41A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B30F767"/>
    <w:multiLevelType w:val="hybridMultilevel"/>
    <w:tmpl w:val="31968883"/>
    <w:lvl w:ilvl="0" w:tplc="FFFFFFFF">
      <w:start w:val="1"/>
      <w:numFmt w:val="ideographDigital"/>
      <w:lvlText w:val=""/>
      <w:lvlJc w:val="left"/>
    </w:lvl>
    <w:lvl w:ilvl="1" w:tplc="FFFFFFFF">
      <w:start w:val="1"/>
      <w:numFmt w:val="lowerLetter"/>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1FC2BA9"/>
    <w:multiLevelType w:val="hybridMultilevel"/>
    <w:tmpl w:val="7B4A59F0"/>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
    <w:nsid w:val="13319669"/>
    <w:multiLevelType w:val="hybridMultilevel"/>
    <w:tmpl w:val="40944D5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45E53636"/>
    <w:multiLevelType w:val="hybridMultilevel"/>
    <w:tmpl w:val="F244B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296534C"/>
    <w:multiLevelType w:val="hybridMultilevel"/>
    <w:tmpl w:val="78A2612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AF8"/>
    <w:rsid w:val="001E5E11"/>
    <w:rsid w:val="003C41A3"/>
    <w:rsid w:val="004569C6"/>
    <w:rsid w:val="004F59E2"/>
    <w:rsid w:val="00736AF8"/>
    <w:rsid w:val="00825C00"/>
    <w:rsid w:val="00A85503"/>
    <w:rsid w:val="00A96369"/>
    <w:rsid w:val="00D325B8"/>
    <w:rsid w:val="00DE41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419E73-6C6D-4E77-B41D-B52B0B079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36AF8"/>
    <w:pPr>
      <w:autoSpaceDE w:val="0"/>
      <w:autoSpaceDN w:val="0"/>
      <w:adjustRightInd w:val="0"/>
      <w:spacing w:after="0" w:line="240" w:lineRule="auto"/>
    </w:pPr>
    <w:rPr>
      <w:rFonts w:ascii="Arial" w:hAnsi="Arial" w:cs="Arial"/>
      <w:color w:val="000000"/>
      <w:sz w:val="24"/>
      <w:szCs w:val="24"/>
    </w:rPr>
  </w:style>
  <w:style w:type="paragraph" w:styleId="Title">
    <w:name w:val="Title"/>
    <w:basedOn w:val="Normal"/>
    <w:next w:val="Normal"/>
    <w:link w:val="TitleChar"/>
    <w:uiPriority w:val="10"/>
    <w:qFormat/>
    <w:rsid w:val="00736AF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36AF8"/>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825C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5C00"/>
  </w:style>
  <w:style w:type="paragraph" w:styleId="Footer">
    <w:name w:val="footer"/>
    <w:basedOn w:val="Normal"/>
    <w:link w:val="FooterChar"/>
    <w:uiPriority w:val="99"/>
    <w:unhideWhenUsed/>
    <w:rsid w:val="003C41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41A3"/>
  </w:style>
  <w:style w:type="paragraph" w:styleId="ListParagraph">
    <w:name w:val="List Paragraph"/>
    <w:basedOn w:val="Normal"/>
    <w:uiPriority w:val="34"/>
    <w:qFormat/>
    <w:rsid w:val="00A855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3</Pages>
  <Words>805</Words>
  <Characters>4595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Kingston Health Sciences Centre</Company>
  <LinksUpToDate>false</LinksUpToDate>
  <CharactersWithSpaces>5390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King, Lana</dc:creator>
  <cp:keywords/>
  <dc:description/>
  <cp:lastModifiedBy>Hofstee, Eric</cp:lastModifiedBy>
  <cp:revision>5</cp:revision>
  <dcterms:created xsi:type="dcterms:W3CDTF">2021-08-19T15:46:00Z</dcterms:created>
  <dcterms:modified xsi:type="dcterms:W3CDTF">2021-08-19T16:54:00Z</dcterms:modified>
</cp:coreProperties>
</file>